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lastRenderedPageBreak/>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6"/>
          <w:footerReference w:type="default" r:id="rId7"/>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CE30C0">
        <w:trPr>
          <w:jc w:val="center"/>
        </w:trPr>
        <w:tc>
          <w:tcPr>
            <w:tcW w:w="10147" w:type="dxa"/>
            <w:tcBorders>
              <w:left w:val="single" w:sz="24" w:space="0" w:color="CED3F1"/>
              <w:right w:val="single" w:sz="24" w:space="0" w:color="F4F3F8"/>
            </w:tcBorders>
            <w:shd w:val="clear" w:color="auto" w:fill="auto"/>
          </w:tcPr>
          <w:p w:rsidR="003B660F" w:rsidRPr="00995F12" w:rsidRDefault="003B660F" w:rsidP="00CE30C0">
            <w:pPr>
              <w:pStyle w:val="ConsPlusNormal"/>
              <w:jc w:val="both"/>
            </w:pPr>
            <w:r w:rsidRPr="00995F12">
              <w:t>Примечание:</w:t>
            </w:r>
          </w:p>
          <w:p w:rsidR="003B660F" w:rsidRPr="00995F12" w:rsidRDefault="003B660F" w:rsidP="00CE30C0">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1" w:name="Par84"/>
      <w:bookmarkEnd w:id="1"/>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 xml:space="preserve">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 xml:space="preserve">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2" w:name="Par264"/>
      <w:bookmarkEnd w:id="2"/>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3" w:name="Par269"/>
      <w:bookmarkEnd w:id="3"/>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lastRenderedPageBreak/>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 xml:space="preserve">смену воды в емкости для ее раздачи необходимо проводить не реже, чем через 3 часа. Перед </w:t>
      </w:r>
      <w:r w:rsidRPr="00995F12">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9"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proofErr w:type="gramStart"/>
      <w:r w:rsidRPr="00995F12">
        <w:t>к СанПиН</w:t>
      </w:r>
      <w:proofErr w:type="gramEnd"/>
      <w:r w:rsidRPr="00995F12">
        <w:t xml:space="preserve">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4" w:name="Par402"/>
      <w:bookmarkEnd w:id="4"/>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CE30C0">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Подпись медицинского работника (ответственного лица)</w:t>
            </w:r>
          </w:p>
        </w:tc>
      </w:tr>
      <w:tr w:rsidR="003B660F" w:rsidRPr="00995F12" w:rsidTr="00CE30C0">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54"/>
      <w:bookmarkEnd w:id="5"/>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CE30C0">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Температура в градусах Цельсия</w:t>
            </w:r>
          </w:p>
        </w:tc>
      </w:tr>
      <w:tr w:rsidR="003B660F" w:rsidRPr="00995F12" w:rsidTr="00CE30C0">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месяц/дни: (ежедневно)</w:t>
            </w:r>
          </w:p>
        </w:tc>
      </w:tr>
      <w:tr w:rsidR="003B660F" w:rsidRPr="00995F12" w:rsidTr="00CE30C0">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r>
      <w:tr w:rsidR="003B660F" w:rsidRPr="00995F12" w:rsidTr="00CE30C0">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85"/>
      <w:bookmarkEnd w:id="6"/>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CE30C0">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Месяц/дни: (температура в градусах Цельсия и влажность в процентах)</w:t>
            </w:r>
          </w:p>
        </w:tc>
      </w:tr>
      <w:tr w:rsidR="003B660F" w:rsidRPr="00995F12" w:rsidTr="00CE30C0">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r>
      <w:tr w:rsidR="003B660F" w:rsidRPr="00995F12" w:rsidTr="00CE30C0">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514"/>
      <w:bookmarkEnd w:id="7"/>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CE30C0">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Примечание</w:t>
            </w:r>
          </w:p>
        </w:tc>
      </w:tr>
      <w:tr w:rsidR="003B660F" w:rsidRPr="00995F12" w:rsidTr="00CE30C0">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8" w:name="Par542"/>
      <w:bookmarkEnd w:id="8"/>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CE30C0">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Примечание</w:t>
            </w:r>
          </w:p>
        </w:tc>
      </w:tr>
      <w:tr w:rsidR="003B660F" w:rsidRPr="00995F12" w:rsidTr="00CE30C0">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9" w:name="Par578"/>
      <w:bookmarkEnd w:id="9"/>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CE30C0">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Итого за сутки</w:t>
            </w:r>
          </w:p>
        </w:tc>
      </w:tr>
      <w:tr w:rsidR="003B660F" w:rsidRPr="00995F12" w:rsidTr="00CE30C0">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3 - 7 лет</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24</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37</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140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43</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29</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CE30C0">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0,6</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CE30C0">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0,6</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CE30C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CE30C0">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CE30C0">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CE30C0">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Итого за сутки</w:t>
            </w:r>
          </w:p>
        </w:tc>
      </w:tr>
      <w:tr w:rsidR="003B660F" w:rsidRPr="00995F12" w:rsidTr="00CE30C0">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лет и старше</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187</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78</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53</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77</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0,3</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r w:rsidR="003B660F" w:rsidRPr="00995F12" w:rsidTr="00CE30C0">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906"/>
      <w:bookmarkEnd w:id="10"/>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CE30C0">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Возраст</w:t>
            </w:r>
          </w:p>
        </w:tc>
      </w:tr>
      <w:tr w:rsidR="003B660F" w:rsidRPr="00995F12" w:rsidTr="00CE30C0">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лет и старше</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42</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75</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475</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51</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19</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0,6</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r>
      <w:tr w:rsidR="003B660F" w:rsidRPr="00995F12" w:rsidTr="00CE30C0">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1107"/>
      <w:bookmarkEnd w:id="11"/>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CE30C0">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Возраст (месяцы жизни)</w:t>
            </w:r>
          </w:p>
        </w:tc>
      </w:tr>
      <w:tr w:rsidR="003B660F" w:rsidRPr="00995F12" w:rsidTr="00CE30C0">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9 - 12</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200 - 400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90 - 100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90 - 100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0,50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60 - 70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30 - 60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 &lt;**&gt;</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10 - 15</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r>
      <w:tr w:rsidR="003B660F" w:rsidRPr="00995F12" w:rsidTr="00CE30C0">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r>
      <w:tr w:rsidR="003B660F" w:rsidRPr="00995F12" w:rsidTr="00CE30C0">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ind w:firstLine="283"/>
              <w:jc w:val="both"/>
            </w:pPr>
            <w:r w:rsidRPr="00995F12">
              <w:t>--------------------------------</w:t>
            </w:r>
          </w:p>
          <w:p w:rsidR="003B660F" w:rsidRPr="00995F12" w:rsidRDefault="003B660F" w:rsidP="00CE30C0">
            <w:pPr>
              <w:pStyle w:val="ConsPlusNormal"/>
              <w:ind w:firstLine="283"/>
              <w:jc w:val="both"/>
            </w:pPr>
            <w:r w:rsidRPr="00995F12">
              <w:t>&lt;*&gt; Для приготовления каш.</w:t>
            </w:r>
          </w:p>
          <w:p w:rsidR="003B660F" w:rsidRPr="00995F12" w:rsidRDefault="003B660F" w:rsidP="00CE30C0">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CE30C0">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Возраст</w:t>
            </w:r>
          </w:p>
        </w:tc>
      </w:tr>
      <w:tr w:rsidR="003B660F" w:rsidRPr="00995F12" w:rsidTr="00CE30C0">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9 - 11 класс</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350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450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w:t>
            </w:r>
          </w:p>
        </w:tc>
      </w:tr>
      <w:tr w:rsidR="003B660F" w:rsidRPr="00995F12" w:rsidTr="00CE30C0">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2" w:name="Par1356"/>
      <w:bookmarkEnd w:id="12"/>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N рецептуры</w:t>
            </w: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Неделя 1</w:t>
            </w:r>
          </w:p>
          <w:p w:rsidR="003B660F" w:rsidRPr="00995F12" w:rsidRDefault="003B660F" w:rsidP="00CE30C0">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CE30C0">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Масса порций</w:t>
            </w:r>
          </w:p>
        </w:tc>
      </w:tr>
      <w:tr w:rsidR="003B660F" w:rsidRPr="00995F12" w:rsidTr="00CE30C0">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лет и старше</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200 - 250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100 - 150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250 - 300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100 - 120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180 - 230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r>
      <w:tr w:rsidR="003B660F" w:rsidRPr="00995F12" w:rsidTr="00CE30C0">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CE30C0">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Масса порций</w:t>
            </w:r>
          </w:p>
        </w:tc>
      </w:tr>
      <w:tr w:rsidR="003B660F" w:rsidRPr="00995F12" w:rsidTr="00CE30C0">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9 - 11 класс</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250 - 280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100 - 150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250 - 300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120 - 150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200 - 250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180 - 200</w:t>
            </w:r>
          </w:p>
        </w:tc>
      </w:tr>
      <w:tr w:rsidR="003B660F" w:rsidRPr="00995F12" w:rsidTr="00CE30C0">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лет и старше</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550</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800</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350</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600</w:t>
            </w:r>
          </w:p>
        </w:tc>
      </w:tr>
      <w:tr w:rsidR="003B660F" w:rsidRPr="00995F12" w:rsidTr="00CE30C0">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CE30C0">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Потребность в пищевых веществах</w:t>
            </w:r>
          </w:p>
        </w:tc>
      </w:tr>
      <w:tr w:rsidR="003B660F" w:rsidRPr="00995F12" w:rsidTr="00CE30C0">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 лет и старше</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92</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383</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2720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1,4</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1,6</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1200</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0,1</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0,05</w:t>
            </w:r>
          </w:p>
        </w:tc>
      </w:tr>
      <w:tr w:rsidR="003B660F" w:rsidRPr="00995F12" w:rsidTr="00CE30C0">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CE30C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Углеводы (г/</w:t>
            </w:r>
            <w:proofErr w:type="spellStart"/>
            <w:r w:rsidRPr="00995F12">
              <w:t>сут</w:t>
            </w:r>
            <w:proofErr w:type="spellEnd"/>
            <w:r w:rsidRPr="00995F12">
              <w:t>)</w:t>
            </w:r>
          </w:p>
        </w:tc>
      </w:tr>
      <w:tr w:rsidR="003B660F" w:rsidRPr="00995F12" w:rsidTr="00CE30C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550 - 580</w:t>
            </w:r>
          </w:p>
        </w:tc>
      </w:tr>
      <w:tr w:rsidR="003B660F" w:rsidRPr="00995F12" w:rsidTr="00CE30C0">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859"/>
      <w:bookmarkEnd w:id="13"/>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CE30C0">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Доля суточной потребности в пищевых веществах и энергии</w:t>
            </w:r>
          </w:p>
        </w:tc>
      </w:tr>
      <w:tr w:rsidR="003B660F" w:rsidRPr="00995F12" w:rsidTr="00CE30C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25%</w:t>
            </w:r>
          </w:p>
        </w:tc>
      </w:tr>
      <w:tr w:rsidR="003B660F" w:rsidRPr="00995F12" w:rsidTr="00CE30C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20 - 25%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30 - 35%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- 15%</w:t>
            </w:r>
          </w:p>
        </w:tc>
      </w:tr>
      <w:tr w:rsidR="003B660F" w:rsidRPr="00995F12" w:rsidTr="00CE30C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30 - 35%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10 - 15%</w:t>
            </w:r>
          </w:p>
        </w:tc>
      </w:tr>
      <w:tr w:rsidR="003B660F" w:rsidRPr="00995F12" w:rsidTr="00CE30C0">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20%</w:t>
            </w:r>
          </w:p>
        </w:tc>
      </w:tr>
      <w:tr w:rsidR="003B660F" w:rsidRPr="00995F12" w:rsidTr="00CE30C0">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CE30C0">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CE30C0">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24 часа</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Завтрак</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второй завтрак</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Обед</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Полдник</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Ужин</w:t>
            </w:r>
          </w:p>
        </w:tc>
      </w:tr>
      <w:tr w:rsidR="003B660F" w:rsidRPr="00995F12" w:rsidTr="00CE30C0">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945"/>
      <w:bookmarkEnd w:id="14"/>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CE30C0">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Масса, г</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96</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116</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125</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104</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95</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104</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120</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14</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17,5</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12,5</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22</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83</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105</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31</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26</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186</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105</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111</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80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154</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118</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33</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40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64</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300</w:t>
            </w:r>
          </w:p>
        </w:tc>
      </w:tr>
      <w:tr w:rsidR="003B660F" w:rsidRPr="00995F12" w:rsidTr="00CE30C0">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200</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133</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133</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CE30C0">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CE30C0">
            <w:pPr>
              <w:pStyle w:val="ConsPlusNormal"/>
            </w:pP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left w:val="single" w:sz="4" w:space="0" w:color="auto"/>
              <w:right w:val="single" w:sz="4" w:space="0" w:color="auto"/>
            </w:tcBorders>
          </w:tcPr>
          <w:p w:rsidR="003B660F" w:rsidRPr="00995F12" w:rsidRDefault="003B660F" w:rsidP="00CE30C0">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CE30C0">
            <w:pPr>
              <w:pStyle w:val="ConsPlusNormal"/>
              <w:jc w:val="center"/>
            </w:pPr>
            <w:r w:rsidRPr="00995F12">
              <w:t>12</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left w:val="single" w:sz="4" w:space="0" w:color="auto"/>
              <w:right w:val="single" w:sz="4" w:space="0" w:color="auto"/>
            </w:tcBorders>
          </w:tcPr>
          <w:p w:rsidR="003B660F" w:rsidRPr="00995F12" w:rsidRDefault="003B660F" w:rsidP="00CE30C0">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CE30C0">
            <w:pPr>
              <w:pStyle w:val="ConsPlusNormal"/>
              <w:jc w:val="center"/>
            </w:pPr>
            <w:r w:rsidRPr="00995F12">
              <w:t>17</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left w:val="single" w:sz="4" w:space="0" w:color="auto"/>
              <w:right w:val="single" w:sz="4" w:space="0" w:color="auto"/>
            </w:tcBorders>
          </w:tcPr>
          <w:p w:rsidR="003B660F" w:rsidRPr="00995F12" w:rsidRDefault="003B660F" w:rsidP="00CE30C0">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CE30C0">
            <w:pPr>
              <w:pStyle w:val="ConsPlusNormal"/>
              <w:jc w:val="center"/>
            </w:pPr>
            <w:r w:rsidRPr="00995F12">
              <w:t>8</w:t>
            </w:r>
          </w:p>
        </w:tc>
      </w:tr>
      <w:tr w:rsidR="003B660F" w:rsidRPr="00995F12" w:rsidTr="00CE30C0">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CE30C0">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CE30C0">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2063"/>
      <w:bookmarkEnd w:id="15"/>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CE30C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Количество обязательных приемов пищи</w:t>
            </w:r>
          </w:p>
        </w:tc>
      </w:tr>
      <w:tr w:rsidR="003B660F" w:rsidRPr="00995F12" w:rsidTr="00CE30C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2 приема пищи (приемы пищи определяются фактическим временем нахождения в организации)</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второй завтрак, обед и полдник</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второй завтрак, обед, полдник и ужин</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второй завтрак, обед, полдник, ужин, второй ужин</w:t>
            </w:r>
          </w:p>
        </w:tc>
      </w:tr>
      <w:tr w:rsidR="003B660F" w:rsidRPr="00995F12" w:rsidTr="00CE30C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один прием пищи - завтрак или обед</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обед, полдник, ужин, второй ужин</w:t>
            </w:r>
          </w:p>
        </w:tc>
      </w:tr>
      <w:tr w:rsidR="003B660F" w:rsidRPr="00995F12" w:rsidTr="00CE30C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дополнительно к завтраку обед</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дополнительно обед и полдник</w:t>
            </w:r>
          </w:p>
        </w:tc>
      </w:tr>
      <w:tr w:rsidR="003B660F" w:rsidRPr="00995F12" w:rsidTr="00CE30C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дополнительно к завтраку обед</w:t>
            </w:r>
          </w:p>
        </w:tc>
      </w:tr>
      <w:tr w:rsidR="003B660F" w:rsidRPr="00995F12" w:rsidTr="00CE30C0">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и обед</w:t>
            </w:r>
          </w:p>
        </w:tc>
      </w:tr>
      <w:tr w:rsidR="003B660F" w:rsidRPr="00995F12" w:rsidTr="00CE30C0">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обед и полдник</w:t>
            </w:r>
          </w:p>
        </w:tc>
      </w:tr>
      <w:tr w:rsidR="003B660F" w:rsidRPr="00995F12" w:rsidTr="00CE30C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(возможен второй завтрак), обед, полдник, ужин, второй ужин</w:t>
            </w:r>
          </w:p>
        </w:tc>
      </w:tr>
      <w:tr w:rsidR="003B660F" w:rsidRPr="00995F12" w:rsidTr="00CE30C0">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6" w:name="Par2112"/>
      <w:bookmarkEnd w:id="16"/>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CE30C0">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Отклонение от нормы в % (+/-)</w:t>
            </w:r>
          </w:p>
        </w:tc>
      </w:tr>
      <w:tr w:rsidR="003B660F" w:rsidRPr="00995F12" w:rsidTr="00CE30C0">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jc w:val="center"/>
            </w:pPr>
          </w:p>
        </w:tc>
      </w:tr>
      <w:tr w:rsidR="003B660F" w:rsidRPr="00995F12" w:rsidTr="00CE30C0">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r w:rsidR="003B660F" w:rsidRPr="00995F12" w:rsidTr="00CE30C0">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CE30C0">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677461" w:rsidP="003B660F">
      <w:pPr>
        <w:pStyle w:val="ConsPlusNormal"/>
        <w:ind w:firstLine="567"/>
        <w:jc w:val="both"/>
      </w:pPr>
      <w:bookmarkStart w:id="17" w:name="_GoBack"/>
      <w:bookmarkEnd w:id="17"/>
    </w:p>
    <w:sectPr w:rsidR="00677461" w:rsidRPr="002F05C6">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78" w:rsidRDefault="008F5278">
      <w:pPr>
        <w:spacing w:after="0" w:line="240" w:lineRule="auto"/>
      </w:pPr>
      <w:r>
        <w:separator/>
      </w:r>
    </w:p>
  </w:endnote>
  <w:endnote w:type="continuationSeparator" w:id="0">
    <w:p w:rsidR="008F5278" w:rsidRDefault="008F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C0" w:rsidRDefault="00CE30C0">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C0" w:rsidRDefault="00CE30C0">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78" w:rsidRDefault="008F5278">
      <w:pPr>
        <w:spacing w:after="0" w:line="240" w:lineRule="auto"/>
      </w:pPr>
      <w:r>
        <w:separator/>
      </w:r>
    </w:p>
  </w:footnote>
  <w:footnote w:type="continuationSeparator" w:id="0">
    <w:p w:rsidR="008F5278" w:rsidRDefault="008F5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C0" w:rsidRDefault="00CE30C0">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C0" w:rsidRDefault="00CE30C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2F05C6"/>
    <w:rsid w:val="003B660F"/>
    <w:rsid w:val="00677461"/>
    <w:rsid w:val="008F5278"/>
    <w:rsid w:val="00B152EB"/>
    <w:rsid w:val="00C00921"/>
    <w:rsid w:val="00CE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21DC"/>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B152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52E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1073;&#1083;&#1086;&#1075;-&#1080;&#1085;&#1078;&#1077;&#1085;&#1077;&#1088;&#1072;.&#1088;&#1092;/gigie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15285</Words>
  <Characters>87125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Учитель</cp:lastModifiedBy>
  <cp:revision>3</cp:revision>
  <cp:lastPrinted>2021-02-10T04:59:00Z</cp:lastPrinted>
  <dcterms:created xsi:type="dcterms:W3CDTF">2020-11-17T19:52:00Z</dcterms:created>
  <dcterms:modified xsi:type="dcterms:W3CDTF">2021-02-10T05:11:00Z</dcterms:modified>
</cp:coreProperties>
</file>